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08" w:rsidRPr="00043608" w:rsidRDefault="00043608" w:rsidP="00043608">
      <w:pPr>
        <w:shd w:val="clear" w:color="auto" w:fill="F7F4EA"/>
        <w:spacing w:after="0" w:line="360" w:lineRule="atLeast"/>
        <w:jc w:val="center"/>
        <w:rPr>
          <w:rFonts w:ascii="Arial" w:eastAsia="Times New Roman" w:hAnsi="Arial" w:cs="Arial"/>
          <w:b/>
          <w:bCs/>
          <w:color w:val="365F91" w:themeColor="accent1" w:themeShade="BF"/>
          <w:sz w:val="52"/>
          <w:szCs w:val="52"/>
          <w:lang w:eastAsia="it-IT"/>
        </w:rPr>
      </w:pPr>
      <w:r w:rsidRPr="00043608">
        <w:rPr>
          <w:rFonts w:ascii="Arial" w:eastAsia="Times New Roman" w:hAnsi="Arial" w:cs="Arial"/>
          <w:b/>
          <w:bCs/>
          <w:color w:val="365F91" w:themeColor="accent1" w:themeShade="BF"/>
          <w:sz w:val="52"/>
          <w:szCs w:val="52"/>
          <w:lang w:eastAsia="it-IT"/>
        </w:rPr>
        <w:t>AGENZIA DELLE ENTRATE</w:t>
      </w:r>
    </w:p>
    <w:p w:rsidR="00043608" w:rsidRPr="00043608" w:rsidRDefault="00043608" w:rsidP="00043608">
      <w:pPr>
        <w:shd w:val="clear" w:color="auto" w:fill="F7F4EA"/>
        <w:spacing w:after="0" w:line="360" w:lineRule="atLeast"/>
        <w:jc w:val="center"/>
        <w:rPr>
          <w:rFonts w:ascii="Arial" w:eastAsia="Times New Roman" w:hAnsi="Arial" w:cs="Arial"/>
          <w:b/>
          <w:bCs/>
          <w:color w:val="365F91" w:themeColor="accent1" w:themeShade="BF"/>
          <w:sz w:val="52"/>
          <w:szCs w:val="52"/>
          <w:lang w:eastAsia="it-IT"/>
        </w:rPr>
      </w:pPr>
      <w:r w:rsidRPr="00043608">
        <w:rPr>
          <w:rFonts w:ascii="Arial" w:eastAsia="Times New Roman" w:hAnsi="Arial" w:cs="Arial"/>
          <w:b/>
          <w:bCs/>
          <w:color w:val="365F91" w:themeColor="accent1" w:themeShade="BF"/>
          <w:sz w:val="52"/>
          <w:szCs w:val="52"/>
          <w:lang w:eastAsia="it-IT"/>
        </w:rPr>
        <w:t>NORMATIVA E PRASSI</w:t>
      </w:r>
    </w:p>
    <w:p w:rsidR="00043608" w:rsidRPr="00043608" w:rsidRDefault="00043608" w:rsidP="00043608">
      <w:pPr>
        <w:shd w:val="clear" w:color="auto" w:fill="FFFFFF"/>
        <w:spacing w:after="75" w:line="240" w:lineRule="auto"/>
        <w:rPr>
          <w:rFonts w:ascii="Arial" w:eastAsia="Times New Roman" w:hAnsi="Arial" w:cs="Arial"/>
          <w:color w:val="000000"/>
          <w:sz w:val="21"/>
          <w:szCs w:val="21"/>
          <w:lang w:eastAsia="it-IT"/>
        </w:rPr>
      </w:pPr>
    </w:p>
    <w:p w:rsidR="00043608" w:rsidRPr="00043608" w:rsidRDefault="00043608" w:rsidP="00043608">
      <w:pPr>
        <w:shd w:val="clear" w:color="auto" w:fill="FFFFFF"/>
        <w:spacing w:after="75" w:line="420" w:lineRule="atLeast"/>
        <w:jc w:val="center"/>
        <w:rPr>
          <w:rFonts w:ascii="Arial" w:eastAsia="Times New Roman" w:hAnsi="Arial" w:cs="Arial"/>
          <w:b/>
          <w:bCs/>
          <w:color w:val="00396B"/>
          <w:sz w:val="24"/>
          <w:szCs w:val="24"/>
          <w:lang w:eastAsia="it-IT"/>
        </w:rPr>
      </w:pPr>
      <w:r w:rsidRPr="00043608">
        <w:rPr>
          <w:rFonts w:ascii="Arial" w:eastAsia="Times New Roman" w:hAnsi="Arial" w:cs="Arial"/>
          <w:b/>
          <w:bCs/>
          <w:color w:val="00396B"/>
          <w:sz w:val="24"/>
          <w:szCs w:val="24"/>
          <w:lang w:eastAsia="it-IT"/>
        </w:rPr>
        <w:t>DEMOLIZIONE E RICOSTRUZIONE: PORTE APERTE AL SISMA BONUS</w:t>
      </w:r>
    </w:p>
    <w:p w:rsidR="00043608" w:rsidRDefault="00043608" w:rsidP="00043608">
      <w:pPr>
        <w:shd w:val="clear" w:color="auto" w:fill="FFFFFF"/>
        <w:spacing w:after="150" w:line="270" w:lineRule="atLeast"/>
        <w:rPr>
          <w:rFonts w:ascii="Arial" w:eastAsia="Times New Roman" w:hAnsi="Arial" w:cs="Arial"/>
          <w:bCs/>
          <w:color w:val="000000"/>
          <w:sz w:val="24"/>
          <w:szCs w:val="24"/>
          <w:lang w:eastAsia="it-IT"/>
        </w:rPr>
      </w:pPr>
      <w:r w:rsidRPr="00043608">
        <w:rPr>
          <w:rFonts w:ascii="Arial" w:eastAsia="Times New Roman" w:hAnsi="Arial" w:cs="Arial"/>
          <w:bCs/>
          <w:color w:val="000000"/>
          <w:sz w:val="24"/>
          <w:szCs w:val="24"/>
          <w:lang w:eastAsia="it-IT"/>
        </w:rPr>
        <w:t>Tali interventi devono essere eseguiti su unità immobiliari adibite ad abitazioni private (o ad attività produttive) e devono concretizzare un’ipotesi di ristrutturazione edilizia</w:t>
      </w:r>
    </w:p>
    <w:p w:rsidR="00043608" w:rsidRPr="00043608" w:rsidRDefault="00043608" w:rsidP="00043608">
      <w:pPr>
        <w:shd w:val="clear" w:color="auto" w:fill="FFFFFF"/>
        <w:spacing w:after="150" w:line="270" w:lineRule="atLeast"/>
        <w:rPr>
          <w:rFonts w:ascii="Arial" w:eastAsia="Times New Roman" w:hAnsi="Arial" w:cs="Arial"/>
          <w:bCs/>
          <w:color w:val="000000"/>
          <w:sz w:val="24"/>
          <w:szCs w:val="24"/>
          <w:lang w:eastAsia="it-IT"/>
        </w:rPr>
      </w:pPr>
    </w:p>
    <w:p w:rsidR="00043608" w:rsidRPr="00043608" w:rsidRDefault="00043608" w:rsidP="00043608">
      <w:pPr>
        <w:shd w:val="clear" w:color="auto" w:fill="FFFFFF"/>
        <w:spacing w:after="75" w:line="240" w:lineRule="auto"/>
        <w:rPr>
          <w:rFonts w:ascii="Arial" w:eastAsia="Times New Roman" w:hAnsi="Arial" w:cs="Arial"/>
          <w:color w:val="000000"/>
          <w:sz w:val="21"/>
          <w:szCs w:val="21"/>
          <w:lang w:eastAsia="it-IT"/>
        </w:rPr>
      </w:pPr>
      <w:r>
        <w:rPr>
          <w:rFonts w:ascii="Arial" w:eastAsia="Times New Roman" w:hAnsi="Arial" w:cs="Arial"/>
          <w:b/>
          <w:bCs/>
          <w:noProof/>
          <w:color w:val="00396B"/>
          <w:sz w:val="21"/>
          <w:szCs w:val="21"/>
          <w:lang w:eastAsia="it-IT"/>
        </w:rPr>
        <w:drawing>
          <wp:inline distT="0" distB="0" distL="0" distR="0">
            <wp:extent cx="2381250" cy="2038350"/>
            <wp:effectExtent l="19050" t="0" r="0" b="0"/>
            <wp:docPr id="4" name="Immagine 4" descr="Demolizione e ricostruzione:|porte aperte al sisma bonu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molizione e ricostruzione:|porte aperte al sisma bonus">
                      <a:hlinkClick r:id="rId5"/>
                    </pic:cNvPr>
                    <pic:cNvPicPr>
                      <a:picLocks noChangeAspect="1" noChangeArrowheads="1"/>
                    </pic:cNvPicPr>
                  </pic:nvPicPr>
                  <pic:blipFill>
                    <a:blip r:embed="rId6" cstate="print"/>
                    <a:srcRect/>
                    <a:stretch>
                      <a:fillRect/>
                    </a:stretch>
                  </pic:blipFill>
                  <pic:spPr bwMode="auto">
                    <a:xfrm>
                      <a:off x="0" y="0"/>
                      <a:ext cx="2381250" cy="2038350"/>
                    </a:xfrm>
                    <a:prstGeom prst="rect">
                      <a:avLst/>
                    </a:prstGeom>
                    <a:noFill/>
                    <a:ln w="9525">
                      <a:noFill/>
                      <a:miter lim="800000"/>
                      <a:headEnd/>
                      <a:tailEnd/>
                    </a:ln>
                  </pic:spPr>
                </pic:pic>
              </a:graphicData>
            </a:graphic>
          </wp:inline>
        </w:drawing>
      </w:r>
    </w:p>
    <w:p w:rsidR="00043608" w:rsidRDefault="00043608" w:rsidP="00043608">
      <w:pPr>
        <w:shd w:val="clear" w:color="auto" w:fill="FFFFFF"/>
        <w:spacing w:after="0" w:line="270" w:lineRule="atLeast"/>
        <w:jc w:val="both"/>
        <w:rPr>
          <w:rFonts w:ascii="Arial" w:eastAsia="Times New Roman" w:hAnsi="Arial" w:cs="Arial"/>
          <w:color w:val="000000"/>
          <w:sz w:val="21"/>
          <w:szCs w:val="21"/>
          <w:lang w:eastAsia="it-IT"/>
        </w:rPr>
      </w:pPr>
      <w:r w:rsidRPr="00043608">
        <w:rPr>
          <w:rFonts w:ascii="Arial" w:eastAsia="Times New Roman" w:hAnsi="Arial" w:cs="Arial"/>
          <w:color w:val="000000"/>
          <w:sz w:val="21"/>
          <w:szCs w:val="21"/>
          <w:lang w:eastAsia="it-IT"/>
        </w:rPr>
        <w:t>Gli interventi di demolizione e ricostruzione di edifici adibiti ad abitazioni private o ad attività produttive sono riconducibili tra quelli relativi all’adozione di misure antisismiche per i quali è possibile fruire del </w:t>
      </w:r>
      <w:r w:rsidRPr="00043608">
        <w:rPr>
          <w:rFonts w:ascii="Arial" w:eastAsia="Times New Roman" w:hAnsi="Arial" w:cs="Arial"/>
          <w:i/>
          <w:iCs/>
          <w:color w:val="000000"/>
          <w:sz w:val="21"/>
          <w:lang w:eastAsia="it-IT"/>
        </w:rPr>
        <w:t>sisma bonus</w:t>
      </w:r>
      <w:r w:rsidRPr="00043608">
        <w:rPr>
          <w:rFonts w:ascii="Arial" w:eastAsia="Times New Roman" w:hAnsi="Arial" w:cs="Arial"/>
          <w:color w:val="000000"/>
          <w:sz w:val="21"/>
          <w:szCs w:val="21"/>
          <w:lang w:eastAsia="it-IT"/>
        </w:rPr>
        <w:t>: ciò a condizione che gli stessi concretizzino un intervento di ristrutturazione edilizia e non un intervento di nuova costruzione e che siano rispettate tutte le condizioni prev</w:t>
      </w:r>
      <w:r>
        <w:rPr>
          <w:rFonts w:ascii="Arial" w:eastAsia="Times New Roman" w:hAnsi="Arial" w:cs="Arial"/>
          <w:color w:val="000000"/>
          <w:sz w:val="21"/>
          <w:szCs w:val="21"/>
          <w:lang w:eastAsia="it-IT"/>
        </w:rPr>
        <w:t>iste dalla norma agevolativa.</w:t>
      </w:r>
    </w:p>
    <w:p w:rsidR="00043608" w:rsidRDefault="00043608" w:rsidP="00043608">
      <w:pPr>
        <w:shd w:val="clear" w:color="auto" w:fill="FFFFFF"/>
        <w:spacing w:after="0" w:line="270" w:lineRule="atLeast"/>
        <w:jc w:val="both"/>
        <w:rPr>
          <w:rFonts w:ascii="Arial" w:eastAsia="Times New Roman" w:hAnsi="Arial" w:cs="Arial"/>
          <w:color w:val="000000"/>
          <w:sz w:val="21"/>
          <w:szCs w:val="21"/>
          <w:lang w:eastAsia="it-IT"/>
        </w:rPr>
      </w:pPr>
      <w:r w:rsidRPr="00043608">
        <w:rPr>
          <w:rFonts w:ascii="Arial" w:eastAsia="Times New Roman" w:hAnsi="Arial" w:cs="Arial"/>
          <w:color w:val="000000"/>
          <w:sz w:val="21"/>
          <w:szCs w:val="21"/>
          <w:lang w:eastAsia="it-IT"/>
        </w:rPr>
        <w:t>È questo, in sintesi, il chiarimento interpretativo offerto dall’Agenzia delle entrate nella </w:t>
      </w:r>
      <w:hyperlink r:id="rId7" w:tgtFrame="_blank" w:history="1">
        <w:r w:rsidRPr="00043608">
          <w:rPr>
            <w:rFonts w:ascii="Arial" w:eastAsia="Times New Roman" w:hAnsi="Arial" w:cs="Arial"/>
            <w:b/>
            <w:bCs/>
            <w:color w:val="00396B"/>
            <w:sz w:val="21"/>
            <w:u w:val="single"/>
            <w:lang w:eastAsia="it-IT"/>
          </w:rPr>
          <w:t>risoluzione 34/E</w:t>
        </w:r>
      </w:hyperlink>
      <w:r w:rsidRPr="00043608">
        <w:rPr>
          <w:rFonts w:ascii="Arial" w:eastAsia="Times New Roman" w:hAnsi="Arial" w:cs="Arial"/>
          <w:color w:val="000000"/>
          <w:sz w:val="21"/>
          <w:szCs w:val="21"/>
          <w:lang w:eastAsia="it-IT"/>
        </w:rPr>
        <w:t> del 27 aprile 2018, in risposta a un’istanza di interpello.</w:t>
      </w:r>
    </w:p>
    <w:p w:rsidR="00043608" w:rsidRDefault="00043608" w:rsidP="00043608">
      <w:pPr>
        <w:shd w:val="clear" w:color="auto" w:fill="FFFFFF"/>
        <w:spacing w:after="0" w:line="270" w:lineRule="atLeast"/>
        <w:jc w:val="both"/>
        <w:rPr>
          <w:rFonts w:ascii="Arial" w:eastAsia="Times New Roman" w:hAnsi="Arial" w:cs="Arial"/>
          <w:color w:val="000000"/>
          <w:sz w:val="21"/>
          <w:szCs w:val="21"/>
          <w:lang w:eastAsia="it-IT"/>
        </w:rPr>
      </w:pPr>
      <w:r w:rsidRPr="00043608">
        <w:rPr>
          <w:rFonts w:ascii="Arial" w:eastAsia="Times New Roman" w:hAnsi="Arial" w:cs="Arial"/>
          <w:b/>
          <w:bCs/>
          <w:color w:val="000000"/>
          <w:sz w:val="21"/>
          <w:lang w:eastAsia="it-IT"/>
        </w:rPr>
        <w:t>Il quesito</w:t>
      </w:r>
    </w:p>
    <w:p w:rsidR="00043608" w:rsidRPr="00043608" w:rsidRDefault="00043608" w:rsidP="00043608">
      <w:pPr>
        <w:shd w:val="clear" w:color="auto" w:fill="FFFFFF"/>
        <w:spacing w:after="0" w:line="270" w:lineRule="atLeast"/>
        <w:jc w:val="both"/>
        <w:rPr>
          <w:rFonts w:ascii="Arial" w:eastAsia="Times New Roman" w:hAnsi="Arial" w:cs="Arial"/>
          <w:color w:val="000000"/>
          <w:sz w:val="21"/>
          <w:szCs w:val="21"/>
          <w:lang w:eastAsia="it-IT"/>
        </w:rPr>
      </w:pPr>
      <w:r w:rsidRPr="00043608">
        <w:rPr>
          <w:rFonts w:ascii="Arial" w:eastAsia="Times New Roman" w:hAnsi="Arial" w:cs="Arial"/>
          <w:color w:val="000000"/>
          <w:sz w:val="21"/>
          <w:szCs w:val="21"/>
          <w:lang w:eastAsia="it-IT"/>
        </w:rPr>
        <w:t>Tre contribuenti, proprietari di un immobile dichiarato inagibile a seguito del terremoto, intendono procedere alla sua demolizione e conseguente fedele ricostruzione e hanno interpellato l’Agenzia, formulando le seguenti domande:</w:t>
      </w:r>
    </w:p>
    <w:p w:rsidR="00043608" w:rsidRPr="00043608" w:rsidRDefault="00043608" w:rsidP="00043608">
      <w:pPr>
        <w:numPr>
          <w:ilvl w:val="0"/>
          <w:numId w:val="1"/>
        </w:numPr>
        <w:shd w:val="clear" w:color="auto" w:fill="FFFFFF"/>
        <w:spacing w:after="0" w:line="270" w:lineRule="atLeast"/>
        <w:ind w:left="0"/>
        <w:jc w:val="both"/>
        <w:rPr>
          <w:rFonts w:ascii="Arial" w:eastAsia="Times New Roman" w:hAnsi="Arial" w:cs="Arial"/>
          <w:b/>
          <w:color w:val="000000"/>
          <w:sz w:val="21"/>
          <w:szCs w:val="21"/>
          <w:lang w:eastAsia="it-IT"/>
        </w:rPr>
      </w:pPr>
      <w:r w:rsidRPr="00043608">
        <w:rPr>
          <w:rFonts w:ascii="Arial" w:eastAsia="Times New Roman" w:hAnsi="Arial" w:cs="Arial"/>
          <w:color w:val="000000"/>
          <w:sz w:val="21"/>
          <w:szCs w:val="21"/>
          <w:lang w:eastAsia="it-IT"/>
        </w:rPr>
        <w:t xml:space="preserve">la detrazione di imposta dell’80% (sisma bonus) spetta per le spese sostenute per un intervento di demolizione e fedele ricostruzione, dal quale deriva una riduzione di due classi di rischio sismico, realizzato su un’unità immobiliare </w:t>
      </w:r>
      <w:r w:rsidRPr="00043608">
        <w:rPr>
          <w:rFonts w:ascii="Arial" w:eastAsia="Times New Roman" w:hAnsi="Arial" w:cs="Arial"/>
          <w:b/>
          <w:color w:val="000000"/>
          <w:sz w:val="21"/>
          <w:szCs w:val="21"/>
          <w:lang w:eastAsia="it-IT"/>
        </w:rPr>
        <w:t xml:space="preserve">(categoria catastale F/2 - unità </w:t>
      </w:r>
      <w:proofErr w:type="spellStart"/>
      <w:r w:rsidRPr="00043608">
        <w:rPr>
          <w:rFonts w:ascii="Arial" w:eastAsia="Times New Roman" w:hAnsi="Arial" w:cs="Arial"/>
          <w:b/>
          <w:color w:val="000000"/>
          <w:sz w:val="21"/>
          <w:szCs w:val="21"/>
          <w:lang w:eastAsia="it-IT"/>
        </w:rPr>
        <w:t>collabenti</w:t>
      </w:r>
      <w:proofErr w:type="spellEnd"/>
      <w:r w:rsidRPr="00043608">
        <w:rPr>
          <w:rFonts w:ascii="Arial" w:eastAsia="Times New Roman" w:hAnsi="Arial" w:cs="Arial"/>
          <w:b/>
          <w:color w:val="000000"/>
          <w:sz w:val="21"/>
          <w:szCs w:val="21"/>
          <w:lang w:eastAsia="it-IT"/>
        </w:rPr>
        <w:t>) danneggiata dal sisma?</w:t>
      </w:r>
    </w:p>
    <w:p w:rsidR="00043608" w:rsidRPr="00043608" w:rsidRDefault="00043608" w:rsidP="00043608">
      <w:pPr>
        <w:numPr>
          <w:ilvl w:val="0"/>
          <w:numId w:val="1"/>
        </w:numPr>
        <w:shd w:val="clear" w:color="auto" w:fill="FFFFFF"/>
        <w:spacing w:after="0" w:line="270" w:lineRule="atLeast"/>
        <w:ind w:left="0"/>
        <w:jc w:val="both"/>
        <w:rPr>
          <w:rFonts w:ascii="Arial" w:eastAsia="Times New Roman" w:hAnsi="Arial" w:cs="Arial"/>
          <w:color w:val="000000"/>
          <w:sz w:val="21"/>
          <w:szCs w:val="21"/>
          <w:lang w:eastAsia="it-IT"/>
        </w:rPr>
      </w:pPr>
      <w:r w:rsidRPr="00043608">
        <w:rPr>
          <w:rFonts w:ascii="Arial" w:eastAsia="Times New Roman" w:hAnsi="Arial" w:cs="Arial"/>
          <w:color w:val="000000"/>
          <w:sz w:val="21"/>
          <w:szCs w:val="21"/>
          <w:lang w:eastAsia="it-IT"/>
        </w:rPr>
        <w:t>in caso di risposta affermativa al primo quesito, la spesa per l’intervento edilizio può essere suddivisa tra gli aventi diritto non in base alle proprie quote di proprietà dell’immobile, ma in base alle spese da ognuno effettivamente sostenute?</w:t>
      </w:r>
    </w:p>
    <w:p w:rsidR="00043608" w:rsidRPr="00043608" w:rsidRDefault="00043608" w:rsidP="00043608">
      <w:pPr>
        <w:numPr>
          <w:ilvl w:val="0"/>
          <w:numId w:val="1"/>
        </w:numPr>
        <w:shd w:val="clear" w:color="auto" w:fill="FFFFFF"/>
        <w:spacing w:after="0" w:line="270" w:lineRule="atLeast"/>
        <w:ind w:left="0"/>
        <w:jc w:val="both"/>
        <w:rPr>
          <w:rFonts w:ascii="Arial" w:eastAsia="Times New Roman" w:hAnsi="Arial" w:cs="Arial"/>
          <w:color w:val="000000"/>
          <w:sz w:val="21"/>
          <w:szCs w:val="21"/>
          <w:lang w:eastAsia="it-IT"/>
        </w:rPr>
      </w:pPr>
      <w:r w:rsidRPr="00043608">
        <w:rPr>
          <w:rFonts w:ascii="Arial" w:eastAsia="Times New Roman" w:hAnsi="Arial" w:cs="Arial"/>
          <w:color w:val="000000"/>
          <w:sz w:val="21"/>
          <w:szCs w:val="21"/>
          <w:lang w:eastAsia="it-IT"/>
        </w:rPr>
        <w:t>a tali spese è applicabile l’aliquota Iva agevolata e, in caso affermativo, in quale misura? </w:t>
      </w:r>
    </w:p>
    <w:p w:rsidR="00043608" w:rsidRDefault="00043608" w:rsidP="00043608">
      <w:pPr>
        <w:shd w:val="clear" w:color="auto" w:fill="FFFFFF"/>
        <w:spacing w:after="0" w:line="270" w:lineRule="atLeast"/>
        <w:jc w:val="both"/>
        <w:rPr>
          <w:rFonts w:ascii="Arial" w:eastAsia="Times New Roman" w:hAnsi="Arial" w:cs="Arial"/>
          <w:color w:val="000000"/>
          <w:sz w:val="21"/>
          <w:szCs w:val="21"/>
          <w:lang w:eastAsia="it-IT"/>
        </w:rPr>
      </w:pPr>
      <w:r w:rsidRPr="00043608">
        <w:rPr>
          <w:rFonts w:ascii="Arial" w:eastAsia="Times New Roman" w:hAnsi="Arial" w:cs="Arial"/>
          <w:b/>
          <w:bCs/>
          <w:color w:val="000000"/>
          <w:sz w:val="21"/>
          <w:lang w:eastAsia="it-IT"/>
        </w:rPr>
        <w:t>Le risposte dell’Agenzia</w:t>
      </w:r>
    </w:p>
    <w:p w:rsidR="00043608" w:rsidRDefault="00043608" w:rsidP="00043608">
      <w:pPr>
        <w:shd w:val="clear" w:color="auto" w:fill="FFFFFF"/>
        <w:spacing w:after="0" w:line="270" w:lineRule="atLeast"/>
        <w:jc w:val="both"/>
        <w:rPr>
          <w:rFonts w:ascii="Arial" w:eastAsia="Times New Roman" w:hAnsi="Arial" w:cs="Arial"/>
          <w:color w:val="000000"/>
          <w:sz w:val="21"/>
          <w:szCs w:val="21"/>
          <w:lang w:eastAsia="it-IT"/>
        </w:rPr>
      </w:pPr>
      <w:r w:rsidRPr="00043608">
        <w:rPr>
          <w:rFonts w:ascii="Arial" w:eastAsia="Times New Roman" w:hAnsi="Arial" w:cs="Arial"/>
          <w:color w:val="000000"/>
          <w:sz w:val="21"/>
          <w:szCs w:val="21"/>
          <w:lang w:eastAsia="it-IT"/>
        </w:rPr>
        <w:t>Prima di formulare le risposte ai quesiti, l’Agenzia ricostruisce sinteticamente</w:t>
      </w:r>
      <w:r>
        <w:rPr>
          <w:rFonts w:ascii="Arial" w:eastAsia="Times New Roman" w:hAnsi="Arial" w:cs="Arial"/>
          <w:color w:val="000000"/>
          <w:sz w:val="21"/>
          <w:szCs w:val="21"/>
          <w:lang w:eastAsia="it-IT"/>
        </w:rPr>
        <w:t xml:space="preserve"> la normativa di riferimento.</w:t>
      </w:r>
    </w:p>
    <w:p w:rsidR="00043608" w:rsidRDefault="00043608" w:rsidP="00043608">
      <w:pPr>
        <w:shd w:val="clear" w:color="auto" w:fill="FFFFFF"/>
        <w:spacing w:after="0" w:line="270" w:lineRule="atLeast"/>
        <w:jc w:val="both"/>
        <w:rPr>
          <w:rFonts w:ascii="Arial" w:eastAsia="Times New Roman" w:hAnsi="Arial" w:cs="Arial"/>
          <w:color w:val="000000"/>
          <w:sz w:val="21"/>
          <w:szCs w:val="21"/>
          <w:lang w:eastAsia="it-IT"/>
        </w:rPr>
      </w:pPr>
      <w:r w:rsidRPr="00043608">
        <w:rPr>
          <w:rFonts w:ascii="Arial" w:eastAsia="Times New Roman" w:hAnsi="Arial" w:cs="Arial"/>
          <w:color w:val="000000"/>
          <w:sz w:val="21"/>
          <w:szCs w:val="21"/>
          <w:lang w:eastAsia="it-IT"/>
        </w:rPr>
        <w:t xml:space="preserve">Innanzitutto, l’Amministrazione ricorda che per le spese sostenute dal 1° gennaio 2017 al 31 dicembre 2021 per l’effettuazione di interventi relativi all’adozione di misure antisismiche (le cui procedure </w:t>
      </w:r>
      <w:proofErr w:type="spellStart"/>
      <w:r w:rsidRPr="00043608">
        <w:rPr>
          <w:rFonts w:ascii="Arial" w:eastAsia="Times New Roman" w:hAnsi="Arial" w:cs="Arial"/>
          <w:color w:val="000000"/>
          <w:sz w:val="21"/>
          <w:szCs w:val="21"/>
          <w:lang w:eastAsia="it-IT"/>
        </w:rPr>
        <w:t>autorizzat</w:t>
      </w:r>
      <w:r>
        <w:rPr>
          <w:rFonts w:ascii="Arial" w:eastAsia="Times New Roman" w:hAnsi="Arial" w:cs="Arial"/>
          <w:color w:val="000000"/>
          <w:sz w:val="21"/>
          <w:szCs w:val="21"/>
          <w:lang w:eastAsia="it-IT"/>
        </w:rPr>
        <w:t>ative</w:t>
      </w:r>
      <w:proofErr w:type="spellEnd"/>
      <w:r w:rsidRPr="00043608">
        <w:rPr>
          <w:rFonts w:ascii="Arial" w:eastAsia="Times New Roman" w:hAnsi="Arial" w:cs="Arial"/>
          <w:color w:val="000000"/>
          <w:sz w:val="21"/>
          <w:szCs w:val="21"/>
          <w:lang w:eastAsia="it-IT"/>
        </w:rPr>
        <w:t xml:space="preserve"> sono iniziate dopo il 4 agosto 2013) su edifici ubicati nelle zone sismiche ad alta pericolosità (zone 1, 2 e 3) e riferite a costruzioni adibite ad abitazione e ad attività produttive, spetta una detrazione del 50%, fino a un ammontare complessivo delle spese non superiore a 96mila euro per unità immobiliare per ciascun anno. Inoltre, qualora dagli interventi derivi una significativa diminuzione del rischio sismico, la detrazione è maggiorata: 70% </w:t>
      </w:r>
      <w:r w:rsidRPr="00043608">
        <w:rPr>
          <w:rFonts w:ascii="Arial" w:eastAsia="Times New Roman" w:hAnsi="Arial" w:cs="Arial"/>
          <w:color w:val="000000"/>
          <w:sz w:val="21"/>
          <w:szCs w:val="21"/>
          <w:lang w:eastAsia="it-IT"/>
        </w:rPr>
        <w:lastRenderedPageBreak/>
        <w:t>(ovvero 75% per gli interventi realizzati sulle parti comuni degli edifici condominiali) in caso di diminuzione di una classe di rischio e 80% (ovvero 85% per gli interventi realizzati sulle parti comuni degli edifici condominiali), in caso di diminuzione di due classi di rischio (</w:t>
      </w:r>
      <w:r w:rsidRPr="00043608">
        <w:rPr>
          <w:rFonts w:ascii="Arial" w:eastAsia="Times New Roman" w:hAnsi="Arial" w:cs="Arial"/>
          <w:i/>
          <w:iCs/>
          <w:color w:val="000000"/>
          <w:sz w:val="21"/>
          <w:lang w:eastAsia="it-IT"/>
        </w:rPr>
        <w:t>sisma bonus</w:t>
      </w:r>
      <w:r w:rsidRPr="00043608">
        <w:rPr>
          <w:rFonts w:ascii="Arial" w:eastAsia="Times New Roman" w:hAnsi="Arial" w:cs="Arial"/>
          <w:color w:val="000000"/>
          <w:sz w:val="21"/>
          <w:szCs w:val="21"/>
          <w:lang w:eastAsia="it-IT"/>
        </w:rPr>
        <w:t> – </w:t>
      </w:r>
      <w:hyperlink r:id="rId8" w:tgtFrame="_blank" w:history="1">
        <w:r w:rsidRPr="00043608">
          <w:rPr>
            <w:rFonts w:ascii="Arial" w:eastAsia="Times New Roman" w:hAnsi="Arial" w:cs="Arial"/>
            <w:b/>
            <w:bCs/>
            <w:color w:val="00396B"/>
            <w:sz w:val="21"/>
            <w:u w:val="single"/>
            <w:lang w:eastAsia="it-IT"/>
          </w:rPr>
          <w:t>articolo 16</w:t>
        </w:r>
      </w:hyperlink>
      <w:r w:rsidRPr="00043608">
        <w:rPr>
          <w:rFonts w:ascii="Arial" w:eastAsia="Times New Roman" w:hAnsi="Arial" w:cs="Arial"/>
          <w:color w:val="000000"/>
          <w:sz w:val="21"/>
          <w:szCs w:val="21"/>
          <w:lang w:eastAsia="it-IT"/>
        </w:rPr>
        <w:t>, commi 1-</w:t>
      </w:r>
      <w:r w:rsidRPr="00043608">
        <w:rPr>
          <w:rFonts w:ascii="Arial" w:eastAsia="Times New Roman" w:hAnsi="Arial" w:cs="Arial"/>
          <w:i/>
          <w:iCs/>
          <w:color w:val="000000"/>
          <w:sz w:val="21"/>
          <w:lang w:eastAsia="it-IT"/>
        </w:rPr>
        <w:t>bis</w:t>
      </w:r>
      <w:r w:rsidRPr="00043608">
        <w:rPr>
          <w:rFonts w:ascii="Arial" w:eastAsia="Times New Roman" w:hAnsi="Arial" w:cs="Arial"/>
          <w:color w:val="000000"/>
          <w:sz w:val="21"/>
          <w:szCs w:val="21"/>
          <w:lang w:eastAsia="it-IT"/>
        </w:rPr>
        <w:t>, 1-</w:t>
      </w:r>
      <w:r w:rsidRPr="00043608">
        <w:rPr>
          <w:rFonts w:ascii="Arial" w:eastAsia="Times New Roman" w:hAnsi="Arial" w:cs="Arial"/>
          <w:i/>
          <w:iCs/>
          <w:color w:val="000000"/>
          <w:sz w:val="21"/>
          <w:lang w:eastAsia="it-IT"/>
        </w:rPr>
        <w:t>ter</w:t>
      </w:r>
      <w:r w:rsidRPr="00043608">
        <w:rPr>
          <w:rFonts w:ascii="Arial" w:eastAsia="Times New Roman" w:hAnsi="Arial" w:cs="Arial"/>
          <w:color w:val="000000"/>
          <w:sz w:val="21"/>
          <w:szCs w:val="21"/>
          <w:lang w:eastAsia="it-IT"/>
        </w:rPr>
        <w:t>, 1-</w:t>
      </w:r>
      <w:r w:rsidRPr="00043608">
        <w:rPr>
          <w:rFonts w:ascii="Arial" w:eastAsia="Times New Roman" w:hAnsi="Arial" w:cs="Arial"/>
          <w:i/>
          <w:iCs/>
          <w:color w:val="000000"/>
          <w:sz w:val="21"/>
          <w:lang w:eastAsia="it-IT"/>
        </w:rPr>
        <w:t>quater</w:t>
      </w:r>
      <w:r w:rsidRPr="00043608">
        <w:rPr>
          <w:rFonts w:ascii="Arial" w:eastAsia="Times New Roman" w:hAnsi="Arial" w:cs="Arial"/>
          <w:color w:val="000000"/>
          <w:sz w:val="21"/>
          <w:szCs w:val="21"/>
          <w:lang w:eastAsia="it-IT"/>
        </w:rPr>
        <w:t> e 1-</w:t>
      </w:r>
      <w:r w:rsidRPr="00043608">
        <w:rPr>
          <w:rFonts w:ascii="Arial" w:eastAsia="Times New Roman" w:hAnsi="Arial" w:cs="Arial"/>
          <w:i/>
          <w:iCs/>
          <w:color w:val="000000"/>
          <w:sz w:val="21"/>
          <w:lang w:eastAsia="it-IT"/>
        </w:rPr>
        <w:t>quinquies</w:t>
      </w:r>
      <w:r>
        <w:rPr>
          <w:rFonts w:ascii="Arial" w:eastAsia="Times New Roman" w:hAnsi="Arial" w:cs="Arial"/>
          <w:color w:val="000000"/>
          <w:sz w:val="21"/>
          <w:szCs w:val="21"/>
          <w:lang w:eastAsia="it-IT"/>
        </w:rPr>
        <w:t>, Dl 63/2013).</w:t>
      </w:r>
    </w:p>
    <w:p w:rsidR="00043608" w:rsidRDefault="00043608" w:rsidP="00043608">
      <w:pPr>
        <w:shd w:val="clear" w:color="auto" w:fill="FFFFFF"/>
        <w:spacing w:after="0" w:line="270" w:lineRule="atLeast"/>
        <w:jc w:val="both"/>
        <w:rPr>
          <w:rFonts w:ascii="Arial" w:eastAsia="Times New Roman" w:hAnsi="Arial" w:cs="Arial"/>
          <w:color w:val="000000"/>
          <w:sz w:val="21"/>
          <w:szCs w:val="21"/>
          <w:lang w:eastAsia="it-IT"/>
        </w:rPr>
      </w:pPr>
      <w:r w:rsidRPr="00043608">
        <w:rPr>
          <w:rFonts w:ascii="Arial" w:eastAsia="Times New Roman" w:hAnsi="Arial" w:cs="Arial"/>
          <w:color w:val="000000"/>
          <w:sz w:val="21"/>
          <w:szCs w:val="21"/>
          <w:lang w:eastAsia="it-IT"/>
        </w:rPr>
        <w:t>Gli interventi rilevanti per l’applicazione delle disposizioni sopra ricordate sono quelli elencati nell’</w:t>
      </w:r>
      <w:hyperlink r:id="rId9" w:tgtFrame="_blank" w:history="1">
        <w:r w:rsidRPr="00043608">
          <w:rPr>
            <w:rFonts w:ascii="Arial" w:eastAsia="Times New Roman" w:hAnsi="Arial" w:cs="Arial"/>
            <w:b/>
            <w:bCs/>
            <w:color w:val="00396B"/>
            <w:sz w:val="21"/>
            <w:u w:val="single"/>
            <w:lang w:eastAsia="it-IT"/>
          </w:rPr>
          <w:t>articolo 16-</w:t>
        </w:r>
        <w:r w:rsidRPr="00043608">
          <w:rPr>
            <w:rFonts w:ascii="Arial" w:eastAsia="Times New Roman" w:hAnsi="Arial" w:cs="Arial"/>
            <w:b/>
            <w:bCs/>
            <w:i/>
            <w:iCs/>
            <w:color w:val="00396B"/>
            <w:sz w:val="21"/>
            <w:u w:val="single"/>
            <w:lang w:eastAsia="it-IT"/>
          </w:rPr>
          <w:t>bis</w:t>
        </w:r>
      </w:hyperlink>
      <w:r w:rsidRPr="00043608">
        <w:rPr>
          <w:rFonts w:ascii="Arial" w:eastAsia="Times New Roman" w:hAnsi="Arial" w:cs="Arial"/>
          <w:color w:val="000000"/>
          <w:sz w:val="21"/>
          <w:szCs w:val="21"/>
          <w:lang w:eastAsia="it-IT"/>
        </w:rPr>
        <w:t xml:space="preserve">, comma 1, lettera i), </w:t>
      </w:r>
      <w:proofErr w:type="spellStart"/>
      <w:r w:rsidRPr="00043608">
        <w:rPr>
          <w:rFonts w:ascii="Arial" w:eastAsia="Times New Roman" w:hAnsi="Arial" w:cs="Arial"/>
          <w:color w:val="000000"/>
          <w:sz w:val="21"/>
          <w:szCs w:val="21"/>
          <w:lang w:eastAsia="it-IT"/>
        </w:rPr>
        <w:t>Tuir</w:t>
      </w:r>
      <w:proofErr w:type="spellEnd"/>
      <w:r w:rsidRPr="00043608">
        <w:rPr>
          <w:rFonts w:ascii="Arial" w:eastAsia="Times New Roman" w:hAnsi="Arial" w:cs="Arial"/>
          <w:color w:val="000000"/>
          <w:sz w:val="21"/>
          <w:szCs w:val="21"/>
          <w:lang w:eastAsia="it-IT"/>
        </w:rPr>
        <w:t xml:space="preserve"> e cioè quelli relativi “</w:t>
      </w:r>
      <w:r w:rsidRPr="00043608">
        <w:rPr>
          <w:rFonts w:ascii="Arial" w:eastAsia="Times New Roman" w:hAnsi="Arial" w:cs="Arial"/>
          <w:i/>
          <w:iCs/>
          <w:color w:val="000000"/>
          <w:sz w:val="21"/>
          <w:lang w:eastAsia="it-IT"/>
        </w:rPr>
        <w:t>all’adozione di misure antisismiche con particolare riguardo all’esecuzione di opere per la messa in sicurezza statica, in particolare sulle parti strutturali, per la redazione della documentazione obbligatoria atta a comprovare la sicurezza statica del patrimonio edilizio, nonché per la realizzazione degli interventi necessari al rilascio della suddetta documentazione. Gli interventi relativi all’adozione di misure antisismiche e all’esecuzione di opere per la messa in sicurezza statica devono essere realizzati sulle parti strutturali degli edifici o complessi di edifici collegati strutturalmente e comprendere interi edifici e, ove riguardino i centri storici, devono essere eseguiti sulla base di progetti unitari e non su singole unità immobiliari</w:t>
      </w:r>
      <w:r>
        <w:rPr>
          <w:rFonts w:ascii="Arial" w:eastAsia="Times New Roman" w:hAnsi="Arial" w:cs="Arial"/>
          <w:color w:val="000000"/>
          <w:sz w:val="21"/>
          <w:szCs w:val="21"/>
          <w:lang w:eastAsia="it-IT"/>
        </w:rPr>
        <w:t>”.</w:t>
      </w:r>
    </w:p>
    <w:p w:rsidR="00043608" w:rsidRPr="00043608" w:rsidRDefault="00043608" w:rsidP="00043608">
      <w:pPr>
        <w:shd w:val="clear" w:color="auto" w:fill="FFFFFF"/>
        <w:spacing w:after="0" w:line="270" w:lineRule="atLeast"/>
        <w:jc w:val="both"/>
        <w:rPr>
          <w:rFonts w:ascii="Arial" w:eastAsia="Times New Roman" w:hAnsi="Arial" w:cs="Arial"/>
          <w:color w:val="000000"/>
          <w:sz w:val="21"/>
          <w:szCs w:val="21"/>
          <w:lang w:eastAsia="it-IT"/>
        </w:rPr>
      </w:pPr>
      <w:r w:rsidRPr="00043608">
        <w:rPr>
          <w:rFonts w:ascii="Arial" w:eastAsia="Times New Roman" w:hAnsi="Arial" w:cs="Arial"/>
          <w:color w:val="000000"/>
          <w:sz w:val="21"/>
          <w:szCs w:val="21"/>
          <w:lang w:eastAsia="it-IT"/>
        </w:rPr>
        <w:t xml:space="preserve">Fatta questa premessa, l’Agenzia sottolinea che il </w:t>
      </w:r>
      <w:r w:rsidRPr="00043608">
        <w:rPr>
          <w:rFonts w:ascii="Arial" w:eastAsia="Times New Roman" w:hAnsi="Arial" w:cs="Arial"/>
          <w:color w:val="000000"/>
          <w:sz w:val="21"/>
          <w:szCs w:val="21"/>
          <w:u w:val="single"/>
          <w:lang w:eastAsia="it-IT"/>
        </w:rPr>
        <w:t xml:space="preserve">Consiglio </w:t>
      </w:r>
      <w:r>
        <w:rPr>
          <w:rFonts w:ascii="Arial" w:eastAsia="Times New Roman" w:hAnsi="Arial" w:cs="Arial"/>
          <w:color w:val="000000"/>
          <w:sz w:val="21"/>
          <w:szCs w:val="21"/>
          <w:u w:val="single"/>
          <w:lang w:eastAsia="it-IT"/>
        </w:rPr>
        <w:t>Superiore d</w:t>
      </w:r>
      <w:r w:rsidRPr="00043608">
        <w:rPr>
          <w:rFonts w:ascii="Arial" w:eastAsia="Times New Roman" w:hAnsi="Arial" w:cs="Arial"/>
          <w:color w:val="000000"/>
          <w:sz w:val="21"/>
          <w:szCs w:val="21"/>
          <w:u w:val="single"/>
          <w:lang w:eastAsia="it-IT"/>
        </w:rPr>
        <w:t>ei Lavori Pubblici</w:t>
      </w:r>
      <w:r w:rsidRPr="00043608">
        <w:rPr>
          <w:rFonts w:ascii="Arial" w:eastAsia="Times New Roman" w:hAnsi="Arial" w:cs="Arial"/>
          <w:color w:val="000000"/>
          <w:sz w:val="21"/>
          <w:szCs w:val="21"/>
          <w:lang w:eastAsia="it-IT"/>
        </w:rPr>
        <w:t xml:space="preserve"> (parere n. 27/2018) ha precisato che:</w:t>
      </w:r>
    </w:p>
    <w:p w:rsidR="00043608" w:rsidRPr="00043608" w:rsidRDefault="00043608" w:rsidP="00043608">
      <w:pPr>
        <w:numPr>
          <w:ilvl w:val="0"/>
          <w:numId w:val="2"/>
        </w:numPr>
        <w:shd w:val="clear" w:color="auto" w:fill="FFFFFF"/>
        <w:spacing w:after="0" w:line="270" w:lineRule="atLeast"/>
        <w:ind w:left="0"/>
        <w:jc w:val="both"/>
        <w:rPr>
          <w:rFonts w:ascii="Arial" w:eastAsia="Times New Roman" w:hAnsi="Arial" w:cs="Arial"/>
          <w:b/>
          <w:i/>
          <w:color w:val="000000"/>
          <w:sz w:val="21"/>
          <w:szCs w:val="21"/>
          <w:lang w:eastAsia="it-IT"/>
        </w:rPr>
      </w:pPr>
      <w:r w:rsidRPr="00043608">
        <w:rPr>
          <w:rFonts w:ascii="Arial" w:eastAsia="Times New Roman" w:hAnsi="Arial" w:cs="Arial"/>
          <w:b/>
          <w:i/>
          <w:color w:val="000000"/>
          <w:sz w:val="21"/>
          <w:szCs w:val="21"/>
          <w:lang w:eastAsia="it-IT"/>
        </w:rPr>
        <w:t>rientrano tra gli interventi di “</w:t>
      </w:r>
      <w:r w:rsidRPr="00043608">
        <w:rPr>
          <w:rFonts w:ascii="Arial" w:eastAsia="Times New Roman" w:hAnsi="Arial" w:cs="Arial"/>
          <w:b/>
          <w:i/>
          <w:iCs/>
          <w:color w:val="000000"/>
          <w:sz w:val="21"/>
          <w:lang w:eastAsia="it-IT"/>
        </w:rPr>
        <w:t>ristrutturazione edilizia</w:t>
      </w:r>
      <w:r w:rsidRPr="00043608">
        <w:rPr>
          <w:rFonts w:ascii="Arial" w:eastAsia="Times New Roman" w:hAnsi="Arial" w:cs="Arial"/>
          <w:b/>
          <w:i/>
          <w:color w:val="000000"/>
          <w:sz w:val="21"/>
          <w:szCs w:val="21"/>
          <w:lang w:eastAsia="it-IT"/>
        </w:rPr>
        <w:t xml:space="preserve">” quelli di demolizione e ricostruzione di un edificio con la stessa volumetria di quello preesistente, fatte salve le sole innovazioni necessarie per l’adeguamento alla normativa antisismica, e, con riferimento agli immobili </w:t>
      </w:r>
      <w:r w:rsidRPr="00043608">
        <w:rPr>
          <w:rFonts w:ascii="Arial" w:eastAsia="Times New Roman" w:hAnsi="Arial" w:cs="Arial"/>
          <w:b/>
          <w:i/>
          <w:color w:val="000000"/>
          <w:sz w:val="21"/>
          <w:szCs w:val="21"/>
          <w:highlight w:val="lightGray"/>
          <w:lang w:eastAsia="it-IT"/>
        </w:rPr>
        <w:t>sottoposti a vincoli (</w:t>
      </w:r>
      <w:r w:rsidRPr="00043608">
        <w:rPr>
          <w:rFonts w:ascii="Arial" w:eastAsia="Times New Roman" w:hAnsi="Arial" w:cs="Arial"/>
          <w:b/>
          <w:i/>
          <w:iCs/>
          <w:color w:val="000000"/>
          <w:sz w:val="21"/>
          <w:highlight w:val="lightGray"/>
          <w:lang w:eastAsia="it-IT"/>
        </w:rPr>
        <w:t>cfr</w:t>
      </w:r>
      <w:r w:rsidRPr="00043608">
        <w:rPr>
          <w:rFonts w:ascii="Arial" w:eastAsia="Times New Roman" w:hAnsi="Arial" w:cs="Arial"/>
          <w:b/>
          <w:i/>
          <w:color w:val="000000"/>
          <w:sz w:val="21"/>
          <w:szCs w:val="21"/>
          <w:highlight w:val="lightGray"/>
          <w:lang w:eastAsia="it-IT"/>
        </w:rPr>
        <w:t> </w:t>
      </w:r>
      <w:proofErr w:type="spellStart"/>
      <w:r w:rsidRPr="00043608">
        <w:rPr>
          <w:rFonts w:ascii="Arial" w:eastAsia="Times New Roman" w:hAnsi="Arial" w:cs="Arial"/>
          <w:b/>
          <w:i/>
          <w:color w:val="000000"/>
          <w:sz w:val="21"/>
          <w:szCs w:val="21"/>
          <w:highlight w:val="lightGray"/>
          <w:lang w:eastAsia="it-IT"/>
        </w:rPr>
        <w:t>Dlgs</w:t>
      </w:r>
      <w:proofErr w:type="spellEnd"/>
      <w:r w:rsidRPr="00043608">
        <w:rPr>
          <w:rFonts w:ascii="Arial" w:eastAsia="Times New Roman" w:hAnsi="Arial" w:cs="Arial"/>
          <w:b/>
          <w:i/>
          <w:color w:val="000000"/>
          <w:sz w:val="21"/>
          <w:szCs w:val="21"/>
          <w:highlight w:val="lightGray"/>
          <w:lang w:eastAsia="it-IT"/>
        </w:rPr>
        <w:t xml:space="preserve"> 42/2004),</w:t>
      </w:r>
      <w:r>
        <w:rPr>
          <w:rFonts w:ascii="Arial" w:eastAsia="Times New Roman" w:hAnsi="Arial" w:cs="Arial"/>
          <w:b/>
          <w:i/>
          <w:color w:val="000000"/>
          <w:sz w:val="21"/>
          <w:szCs w:val="21"/>
          <w:lang w:eastAsia="it-IT"/>
        </w:rPr>
        <w:t>………</w:t>
      </w:r>
      <w:r w:rsidRPr="00043608">
        <w:rPr>
          <w:rFonts w:ascii="Arial" w:eastAsia="Times New Roman" w:hAnsi="Arial" w:cs="Arial"/>
          <w:b/>
          <w:i/>
          <w:color w:val="000000"/>
          <w:sz w:val="21"/>
          <w:szCs w:val="21"/>
          <w:lang w:eastAsia="it-IT"/>
        </w:rPr>
        <w:t xml:space="preserve"> gli interventi di demolizione e ricostruzione che rispettino la medesima sagoma dell’edificio preesistente</w:t>
      </w:r>
    </w:p>
    <w:p w:rsidR="00043608" w:rsidRPr="00043608" w:rsidRDefault="00043608" w:rsidP="00043608">
      <w:pPr>
        <w:numPr>
          <w:ilvl w:val="0"/>
          <w:numId w:val="2"/>
        </w:numPr>
        <w:shd w:val="clear" w:color="auto" w:fill="FFFFFF"/>
        <w:spacing w:after="0" w:line="270" w:lineRule="atLeast"/>
        <w:ind w:left="0"/>
        <w:jc w:val="both"/>
        <w:rPr>
          <w:rFonts w:ascii="Arial" w:eastAsia="Times New Roman" w:hAnsi="Arial" w:cs="Arial"/>
          <w:color w:val="000000"/>
          <w:sz w:val="21"/>
          <w:szCs w:val="21"/>
          <w:lang w:eastAsia="it-IT"/>
        </w:rPr>
      </w:pPr>
      <w:r w:rsidRPr="00043608">
        <w:rPr>
          <w:rFonts w:ascii="Arial" w:eastAsia="Times New Roman" w:hAnsi="Arial" w:cs="Arial"/>
          <w:color w:val="000000"/>
          <w:sz w:val="21"/>
          <w:szCs w:val="21"/>
          <w:lang w:eastAsia="it-IT"/>
        </w:rPr>
        <w:t>tali interventi di demolizione e ricostruzione rappresentano un’efficace strategia di riduzione del rischio sismico su una costruzione non adeguata alle norme tecniche di settore e, pertanto, possono certamente rientrare fra quelli indicati dall’articolo 16-</w:t>
      </w:r>
      <w:r w:rsidRPr="00043608">
        <w:rPr>
          <w:rFonts w:ascii="Arial" w:eastAsia="Times New Roman" w:hAnsi="Arial" w:cs="Arial"/>
          <w:i/>
          <w:iCs/>
          <w:color w:val="000000"/>
          <w:sz w:val="21"/>
          <w:lang w:eastAsia="it-IT"/>
        </w:rPr>
        <w:t>bis</w:t>
      </w:r>
      <w:r w:rsidRPr="00043608">
        <w:rPr>
          <w:rFonts w:ascii="Arial" w:eastAsia="Times New Roman" w:hAnsi="Arial" w:cs="Arial"/>
          <w:color w:val="000000"/>
          <w:sz w:val="21"/>
          <w:szCs w:val="21"/>
          <w:lang w:eastAsia="it-IT"/>
        </w:rPr>
        <w:t xml:space="preserve">, comma 1, lett. i), </w:t>
      </w:r>
      <w:proofErr w:type="spellStart"/>
      <w:r w:rsidRPr="00043608">
        <w:rPr>
          <w:rFonts w:ascii="Arial" w:eastAsia="Times New Roman" w:hAnsi="Arial" w:cs="Arial"/>
          <w:color w:val="000000"/>
          <w:sz w:val="21"/>
          <w:szCs w:val="21"/>
          <w:lang w:eastAsia="it-IT"/>
        </w:rPr>
        <w:t>Tuir</w:t>
      </w:r>
      <w:proofErr w:type="spellEnd"/>
      <w:r w:rsidRPr="00043608">
        <w:rPr>
          <w:rFonts w:ascii="Arial" w:eastAsia="Times New Roman" w:hAnsi="Arial" w:cs="Arial"/>
          <w:color w:val="000000"/>
          <w:sz w:val="21"/>
          <w:szCs w:val="21"/>
          <w:lang w:eastAsia="it-IT"/>
        </w:rPr>
        <w:t>, relativi all’adozione di misure antisismiche. </w:t>
      </w:r>
    </w:p>
    <w:p w:rsidR="00043608" w:rsidRDefault="00043608" w:rsidP="00043608">
      <w:pPr>
        <w:shd w:val="clear" w:color="auto" w:fill="FFFFFF"/>
        <w:spacing w:line="270" w:lineRule="atLeast"/>
        <w:jc w:val="both"/>
        <w:rPr>
          <w:rFonts w:ascii="Arial" w:eastAsia="Times New Roman" w:hAnsi="Arial" w:cs="Arial"/>
          <w:color w:val="000000"/>
          <w:sz w:val="21"/>
          <w:szCs w:val="21"/>
          <w:lang w:eastAsia="it-IT"/>
        </w:rPr>
      </w:pPr>
      <w:r w:rsidRPr="00043608">
        <w:rPr>
          <w:rFonts w:ascii="Arial" w:eastAsia="Times New Roman" w:hAnsi="Arial" w:cs="Arial"/>
          <w:b/>
          <w:bCs/>
          <w:i/>
          <w:iCs/>
          <w:color w:val="000000"/>
          <w:sz w:val="21"/>
          <w:lang w:eastAsia="it-IT"/>
        </w:rPr>
        <w:t>Risposta al primo quesito</w:t>
      </w:r>
    </w:p>
    <w:p w:rsidR="00043608" w:rsidRDefault="00043608" w:rsidP="00043608">
      <w:pPr>
        <w:shd w:val="clear" w:color="auto" w:fill="FFFFFF"/>
        <w:spacing w:line="270" w:lineRule="atLeast"/>
        <w:jc w:val="both"/>
        <w:rPr>
          <w:rFonts w:ascii="Arial" w:eastAsia="Times New Roman" w:hAnsi="Arial" w:cs="Arial"/>
          <w:color w:val="000000"/>
          <w:sz w:val="21"/>
          <w:szCs w:val="21"/>
          <w:lang w:eastAsia="it-IT"/>
        </w:rPr>
      </w:pPr>
      <w:r w:rsidRPr="00043608">
        <w:rPr>
          <w:rFonts w:ascii="Arial" w:eastAsia="Times New Roman" w:hAnsi="Arial" w:cs="Arial"/>
          <w:color w:val="000000"/>
          <w:sz w:val="21"/>
          <w:szCs w:val="21"/>
          <w:lang w:eastAsia="it-IT"/>
        </w:rPr>
        <w:t>Alla luce della normativa di riferimento e del parere del Consiglio superiore dei lavori pubblici, l’Agenzia precisa che gli interventi consistenti nella demolizione e ricostruzione di edifici adibiti ad abitazioni private o ad attività produttive possono essere ammessi al </w:t>
      </w:r>
      <w:r w:rsidRPr="00043608">
        <w:rPr>
          <w:rFonts w:ascii="Arial" w:eastAsia="Times New Roman" w:hAnsi="Arial" w:cs="Arial"/>
          <w:i/>
          <w:iCs/>
          <w:color w:val="000000"/>
          <w:sz w:val="21"/>
          <w:lang w:eastAsia="it-IT"/>
        </w:rPr>
        <w:t>sisma bonus</w:t>
      </w:r>
      <w:r w:rsidRPr="00043608">
        <w:rPr>
          <w:rFonts w:ascii="Arial" w:eastAsia="Times New Roman" w:hAnsi="Arial" w:cs="Arial"/>
          <w:color w:val="000000"/>
          <w:sz w:val="21"/>
          <w:szCs w:val="21"/>
          <w:lang w:eastAsia="it-IT"/>
        </w:rPr>
        <w:t>, a patto che siano rispettate tutte le condizioni previste dalla norma agevolativa e sempreché concretizzino un intervento di ristrutturazione edilizia e non un i</w:t>
      </w:r>
      <w:r>
        <w:rPr>
          <w:rFonts w:ascii="Arial" w:eastAsia="Times New Roman" w:hAnsi="Arial" w:cs="Arial"/>
          <w:color w:val="000000"/>
          <w:sz w:val="21"/>
          <w:szCs w:val="21"/>
          <w:lang w:eastAsia="it-IT"/>
        </w:rPr>
        <w:t>ntervento di nuova costruzione.</w:t>
      </w:r>
    </w:p>
    <w:p w:rsidR="00043608" w:rsidRDefault="00043608" w:rsidP="00043608">
      <w:pPr>
        <w:shd w:val="clear" w:color="auto" w:fill="FFFFFF"/>
        <w:spacing w:line="270" w:lineRule="atLeast"/>
        <w:jc w:val="both"/>
        <w:rPr>
          <w:rFonts w:ascii="Arial" w:eastAsia="Times New Roman" w:hAnsi="Arial" w:cs="Arial"/>
          <w:color w:val="000000"/>
          <w:sz w:val="21"/>
          <w:szCs w:val="21"/>
          <w:lang w:eastAsia="it-IT"/>
        </w:rPr>
      </w:pPr>
      <w:r w:rsidRPr="00043608">
        <w:rPr>
          <w:rFonts w:ascii="Arial" w:eastAsia="Times New Roman" w:hAnsi="Arial" w:cs="Arial"/>
          <w:color w:val="000000"/>
          <w:sz w:val="21"/>
          <w:szCs w:val="21"/>
          <w:lang w:eastAsia="it-IT"/>
        </w:rPr>
        <w:t>Nel caso in esame, pertanto, venendo in rilievo un intervento di demolizione e ricostruzione di un edificio collabente, per l’applicazione della detrazione è necessario che dal titolo amministrativo, che autorizza i lavori, risulti che l’opera consista in un intervento di conservazione del patrimonio edilizio esistente e non in un intervento di nuova costruzione.</w:t>
      </w:r>
    </w:p>
    <w:p w:rsidR="00043608" w:rsidRDefault="00043608" w:rsidP="00043608">
      <w:pPr>
        <w:shd w:val="clear" w:color="auto" w:fill="FFFFFF"/>
        <w:spacing w:line="270" w:lineRule="atLeast"/>
        <w:jc w:val="both"/>
        <w:rPr>
          <w:rFonts w:ascii="Arial" w:eastAsia="Times New Roman" w:hAnsi="Arial" w:cs="Arial"/>
          <w:color w:val="000000"/>
          <w:sz w:val="21"/>
          <w:szCs w:val="21"/>
          <w:lang w:eastAsia="it-IT"/>
        </w:rPr>
      </w:pPr>
      <w:r w:rsidRPr="00043608">
        <w:rPr>
          <w:rFonts w:ascii="Arial" w:eastAsia="Times New Roman" w:hAnsi="Arial" w:cs="Arial"/>
          <w:b/>
          <w:bCs/>
          <w:i/>
          <w:iCs/>
          <w:color w:val="000000"/>
          <w:sz w:val="21"/>
          <w:lang w:eastAsia="it-IT"/>
        </w:rPr>
        <w:t>Risposta al secondo quesito</w:t>
      </w:r>
    </w:p>
    <w:p w:rsidR="00043608" w:rsidRDefault="00043608" w:rsidP="00043608">
      <w:pPr>
        <w:shd w:val="clear" w:color="auto" w:fill="FFFFFF"/>
        <w:spacing w:line="270" w:lineRule="atLeast"/>
        <w:jc w:val="both"/>
        <w:rPr>
          <w:rFonts w:ascii="Arial" w:eastAsia="Times New Roman" w:hAnsi="Arial" w:cs="Arial"/>
          <w:color w:val="000000"/>
          <w:sz w:val="21"/>
          <w:szCs w:val="21"/>
          <w:lang w:eastAsia="it-IT"/>
        </w:rPr>
      </w:pPr>
      <w:r w:rsidRPr="00043608">
        <w:rPr>
          <w:rFonts w:ascii="Arial" w:eastAsia="Times New Roman" w:hAnsi="Arial" w:cs="Arial"/>
          <w:color w:val="000000"/>
          <w:sz w:val="21"/>
          <w:szCs w:val="21"/>
          <w:lang w:eastAsia="it-IT"/>
        </w:rPr>
        <w:t xml:space="preserve">In base a quanto previsto dal </w:t>
      </w:r>
      <w:proofErr w:type="spellStart"/>
      <w:r w:rsidRPr="00043608">
        <w:rPr>
          <w:rFonts w:ascii="Arial" w:eastAsia="Times New Roman" w:hAnsi="Arial" w:cs="Arial"/>
          <w:color w:val="000000"/>
          <w:sz w:val="21"/>
          <w:szCs w:val="21"/>
          <w:lang w:eastAsia="it-IT"/>
        </w:rPr>
        <w:t>Tuir</w:t>
      </w:r>
      <w:proofErr w:type="spellEnd"/>
      <w:r w:rsidRPr="00043608">
        <w:rPr>
          <w:rFonts w:ascii="Arial" w:eastAsia="Times New Roman" w:hAnsi="Arial" w:cs="Arial"/>
          <w:color w:val="000000"/>
          <w:sz w:val="21"/>
          <w:szCs w:val="21"/>
          <w:lang w:eastAsia="it-IT"/>
        </w:rPr>
        <w:t xml:space="preserve"> in materia spese per interventi di recupero del patrimonio edilizio, è possibile usufruire della detrazione per le spese sostenute ed effettivamente rimaste a carico dei contribuenti, sempreché gli stessi siano proprietari dell’immobile, ovvero abbiano sullo stesso un dirit</w:t>
      </w:r>
      <w:r>
        <w:rPr>
          <w:rFonts w:ascii="Arial" w:eastAsia="Times New Roman" w:hAnsi="Arial" w:cs="Arial"/>
          <w:color w:val="000000"/>
          <w:sz w:val="21"/>
          <w:szCs w:val="21"/>
          <w:lang w:eastAsia="it-IT"/>
        </w:rPr>
        <w:t>to reale, o ne siano detentori.</w:t>
      </w:r>
    </w:p>
    <w:p w:rsidR="00043608" w:rsidRDefault="00043608" w:rsidP="00043608">
      <w:pPr>
        <w:shd w:val="clear" w:color="auto" w:fill="FFFFFF"/>
        <w:spacing w:line="270" w:lineRule="atLeast"/>
        <w:jc w:val="both"/>
        <w:rPr>
          <w:rFonts w:ascii="Arial" w:eastAsia="Times New Roman" w:hAnsi="Arial" w:cs="Arial"/>
          <w:color w:val="000000"/>
          <w:sz w:val="21"/>
          <w:szCs w:val="21"/>
          <w:lang w:eastAsia="it-IT"/>
        </w:rPr>
      </w:pPr>
      <w:r w:rsidRPr="00043608">
        <w:rPr>
          <w:rFonts w:ascii="Arial" w:eastAsia="Times New Roman" w:hAnsi="Arial" w:cs="Arial"/>
          <w:color w:val="000000"/>
          <w:sz w:val="21"/>
          <w:szCs w:val="21"/>
          <w:lang w:eastAsia="it-IT"/>
        </w:rPr>
        <w:t>Nel caso in cui più soggetti abbiano diritto alla detrazione, la stessa è ripartita in funzione della spesa effettivamente sostenuta da ciascuno, come attestata dal bonifico di pagamento e dall’intestazione delle fatture rilasciate dall’impresa che esegue i lavori (</w:t>
      </w:r>
      <w:r w:rsidRPr="00043608">
        <w:rPr>
          <w:rFonts w:ascii="Arial" w:eastAsia="Times New Roman" w:hAnsi="Arial" w:cs="Arial"/>
          <w:i/>
          <w:iCs/>
          <w:color w:val="000000"/>
          <w:sz w:val="21"/>
          <w:lang w:eastAsia="it-IT"/>
        </w:rPr>
        <w:t>cfr</w:t>
      </w:r>
      <w:r w:rsidRPr="00043608">
        <w:rPr>
          <w:rFonts w:ascii="Arial" w:eastAsia="Times New Roman" w:hAnsi="Arial" w:cs="Arial"/>
          <w:color w:val="000000"/>
          <w:sz w:val="21"/>
          <w:szCs w:val="21"/>
          <w:lang w:eastAsia="it-IT"/>
        </w:rPr>
        <w:t> </w:t>
      </w:r>
      <w:hyperlink r:id="rId10" w:tgtFrame="_blank" w:history="1">
        <w:r w:rsidRPr="00043608">
          <w:rPr>
            <w:rFonts w:ascii="Arial" w:eastAsia="Times New Roman" w:hAnsi="Arial" w:cs="Arial"/>
            <w:b/>
            <w:bCs/>
            <w:color w:val="00396B"/>
            <w:sz w:val="21"/>
            <w:u w:val="single"/>
            <w:lang w:eastAsia="it-IT"/>
          </w:rPr>
          <w:t>circolare n. 7/E</w:t>
        </w:r>
      </w:hyperlink>
      <w:r>
        <w:rPr>
          <w:rFonts w:ascii="Arial" w:eastAsia="Times New Roman" w:hAnsi="Arial" w:cs="Arial"/>
          <w:color w:val="000000"/>
          <w:sz w:val="21"/>
          <w:szCs w:val="21"/>
          <w:lang w:eastAsia="it-IT"/>
        </w:rPr>
        <w:t> del 4 aprile 2017).</w:t>
      </w:r>
      <w:r w:rsidRPr="00043608">
        <w:rPr>
          <w:rFonts w:ascii="Arial" w:eastAsia="Times New Roman" w:hAnsi="Arial" w:cs="Arial"/>
          <w:color w:val="000000"/>
          <w:sz w:val="21"/>
          <w:szCs w:val="21"/>
          <w:lang w:eastAsia="it-IT"/>
        </w:rPr>
        <w:t>Pertanto, conclude l’Agenzia, nel caso in esame la spesa per l’intervento edilizio può essere suddivisa tra gli aventi diritto non in base alle proprie quote di proprietà dell’immobile, ma in base alle spese da ognuno effettivamente sostenute.</w:t>
      </w:r>
    </w:p>
    <w:p w:rsidR="00043608" w:rsidRDefault="00043608" w:rsidP="00043608">
      <w:pPr>
        <w:shd w:val="clear" w:color="auto" w:fill="FFFFFF"/>
        <w:spacing w:line="270" w:lineRule="atLeast"/>
        <w:jc w:val="both"/>
        <w:rPr>
          <w:rFonts w:ascii="Arial" w:eastAsia="Times New Roman" w:hAnsi="Arial" w:cs="Arial"/>
          <w:color w:val="000000"/>
          <w:sz w:val="21"/>
          <w:szCs w:val="21"/>
          <w:lang w:eastAsia="it-IT"/>
        </w:rPr>
      </w:pPr>
      <w:r w:rsidRPr="00043608">
        <w:rPr>
          <w:rFonts w:ascii="Arial" w:eastAsia="Times New Roman" w:hAnsi="Arial" w:cs="Arial"/>
          <w:b/>
          <w:bCs/>
          <w:i/>
          <w:iCs/>
          <w:color w:val="000000"/>
          <w:sz w:val="21"/>
          <w:lang w:eastAsia="it-IT"/>
        </w:rPr>
        <w:t>Risposta al terzo quesito</w:t>
      </w:r>
    </w:p>
    <w:p w:rsidR="00043608" w:rsidRDefault="00043608" w:rsidP="00043608">
      <w:pPr>
        <w:shd w:val="clear" w:color="auto" w:fill="FFFFFF"/>
        <w:spacing w:line="270" w:lineRule="atLeast"/>
        <w:jc w:val="both"/>
        <w:rPr>
          <w:rFonts w:ascii="Arial" w:eastAsia="Times New Roman" w:hAnsi="Arial" w:cs="Arial"/>
          <w:color w:val="000000"/>
          <w:sz w:val="21"/>
          <w:szCs w:val="21"/>
          <w:lang w:eastAsia="it-IT"/>
        </w:rPr>
      </w:pPr>
      <w:r w:rsidRPr="00043608">
        <w:rPr>
          <w:rFonts w:ascii="Arial" w:eastAsia="Times New Roman" w:hAnsi="Arial" w:cs="Arial"/>
          <w:color w:val="000000"/>
          <w:sz w:val="21"/>
          <w:szCs w:val="21"/>
          <w:lang w:eastAsia="it-IT"/>
        </w:rPr>
        <w:lastRenderedPageBreak/>
        <w:t>Infine, rispetto all’ultimo dei tre quesiti, l’Agenzia chiarisce che alla fattispecie descritta nell’istanza di interpello (demolizione con fedele ricostruzione) può essere applicata l’aliquota Iva agevolata del 10% prevista per gli interventi di ristrutturazione edilizia, a condizione che le opere siano qualificate come tali dalla documentazione amministrativa che autorizza i lavori (</w:t>
      </w:r>
      <w:r w:rsidRPr="00043608">
        <w:rPr>
          <w:rFonts w:ascii="Arial" w:eastAsia="Times New Roman" w:hAnsi="Arial" w:cs="Arial"/>
          <w:i/>
          <w:iCs/>
          <w:color w:val="000000"/>
          <w:sz w:val="21"/>
          <w:lang w:eastAsia="it-IT"/>
        </w:rPr>
        <w:t>cfr</w:t>
      </w:r>
      <w:r w:rsidRPr="00043608">
        <w:rPr>
          <w:rFonts w:ascii="Arial" w:eastAsia="Times New Roman" w:hAnsi="Arial" w:cs="Arial"/>
          <w:color w:val="000000"/>
          <w:sz w:val="21"/>
          <w:szCs w:val="21"/>
          <w:lang w:eastAsia="it-IT"/>
        </w:rPr>
        <w:t> voce n. 127-</w:t>
      </w:r>
      <w:r w:rsidRPr="00043608">
        <w:rPr>
          <w:rFonts w:ascii="Arial" w:eastAsia="Times New Roman" w:hAnsi="Arial" w:cs="Arial"/>
          <w:i/>
          <w:iCs/>
          <w:color w:val="000000"/>
          <w:sz w:val="21"/>
          <w:lang w:eastAsia="it-IT"/>
        </w:rPr>
        <w:t>quaterdecies</w:t>
      </w:r>
      <w:r w:rsidRPr="00043608">
        <w:rPr>
          <w:rFonts w:ascii="Arial" w:eastAsia="Times New Roman" w:hAnsi="Arial" w:cs="Arial"/>
          <w:color w:val="000000"/>
          <w:sz w:val="21"/>
          <w:szCs w:val="21"/>
          <w:lang w:eastAsia="it-IT"/>
        </w:rPr>
        <w:t>, </w:t>
      </w:r>
      <w:hyperlink r:id="rId11" w:tgtFrame="_blank" w:history="1">
        <w:r w:rsidRPr="00043608">
          <w:rPr>
            <w:rFonts w:ascii="Arial" w:eastAsia="Times New Roman" w:hAnsi="Arial" w:cs="Arial"/>
            <w:b/>
            <w:bCs/>
            <w:color w:val="00396B"/>
            <w:sz w:val="21"/>
            <w:u w:val="single"/>
            <w:lang w:eastAsia="it-IT"/>
          </w:rPr>
          <w:t>tabella A</w:t>
        </w:r>
      </w:hyperlink>
      <w:r>
        <w:rPr>
          <w:rFonts w:ascii="Arial" w:eastAsia="Times New Roman" w:hAnsi="Arial" w:cs="Arial"/>
          <w:color w:val="000000"/>
          <w:sz w:val="21"/>
          <w:szCs w:val="21"/>
          <w:lang w:eastAsia="it-IT"/>
        </w:rPr>
        <w:t xml:space="preserve">, parte III, </w:t>
      </w:r>
      <w:proofErr w:type="spellStart"/>
      <w:r>
        <w:rPr>
          <w:rFonts w:ascii="Arial" w:eastAsia="Times New Roman" w:hAnsi="Arial" w:cs="Arial"/>
          <w:color w:val="000000"/>
          <w:sz w:val="21"/>
          <w:szCs w:val="21"/>
          <w:lang w:eastAsia="it-IT"/>
        </w:rPr>
        <w:t>Dpr</w:t>
      </w:r>
      <w:proofErr w:type="spellEnd"/>
      <w:r>
        <w:rPr>
          <w:rFonts w:ascii="Arial" w:eastAsia="Times New Roman" w:hAnsi="Arial" w:cs="Arial"/>
          <w:color w:val="000000"/>
          <w:sz w:val="21"/>
          <w:szCs w:val="21"/>
          <w:lang w:eastAsia="it-IT"/>
        </w:rPr>
        <w:t xml:space="preserve"> 633/1972).</w:t>
      </w:r>
    </w:p>
    <w:p w:rsidR="00043608" w:rsidRDefault="00043608" w:rsidP="00043608">
      <w:pPr>
        <w:shd w:val="clear" w:color="auto" w:fill="FFFFFF"/>
        <w:spacing w:line="270" w:lineRule="atLeast"/>
        <w:jc w:val="both"/>
        <w:rPr>
          <w:rFonts w:ascii="Arial" w:eastAsia="Times New Roman" w:hAnsi="Arial" w:cs="Arial"/>
          <w:color w:val="000000"/>
          <w:sz w:val="21"/>
          <w:szCs w:val="21"/>
          <w:lang w:eastAsia="it-IT"/>
        </w:rPr>
      </w:pPr>
      <w:r w:rsidRPr="00043608">
        <w:rPr>
          <w:rFonts w:ascii="Arial" w:eastAsia="Times New Roman" w:hAnsi="Arial" w:cs="Arial"/>
          <w:color w:val="000000"/>
          <w:sz w:val="21"/>
          <w:szCs w:val="21"/>
          <w:lang w:eastAsia="it-IT"/>
        </w:rPr>
        <w:t>Se gli interventi si configurano come “</w:t>
      </w:r>
      <w:r w:rsidRPr="00043608">
        <w:rPr>
          <w:rFonts w:ascii="Arial" w:eastAsia="Times New Roman" w:hAnsi="Arial" w:cs="Arial"/>
          <w:i/>
          <w:iCs/>
          <w:color w:val="000000"/>
          <w:sz w:val="21"/>
          <w:lang w:eastAsia="it-IT"/>
        </w:rPr>
        <w:t>interventi di nuova costruzione</w:t>
      </w:r>
      <w:r w:rsidRPr="00043608">
        <w:rPr>
          <w:rFonts w:ascii="Arial" w:eastAsia="Times New Roman" w:hAnsi="Arial" w:cs="Arial"/>
          <w:color w:val="000000"/>
          <w:sz w:val="21"/>
          <w:szCs w:val="21"/>
          <w:lang w:eastAsia="it-IT"/>
        </w:rPr>
        <w:t>”, troveranno applicazione le diverse aliquote previste per le varie fattispecie (ad esempio, pr</w:t>
      </w:r>
      <w:r>
        <w:rPr>
          <w:rFonts w:ascii="Arial" w:eastAsia="Times New Roman" w:hAnsi="Arial" w:cs="Arial"/>
          <w:color w:val="000000"/>
          <w:sz w:val="21"/>
          <w:szCs w:val="21"/>
          <w:lang w:eastAsia="it-IT"/>
        </w:rPr>
        <w:t xml:space="preserve">ima casa, immobile strumentale, </w:t>
      </w:r>
      <w:r w:rsidRPr="00043608">
        <w:rPr>
          <w:rFonts w:ascii="Arial" w:eastAsia="Times New Roman" w:hAnsi="Arial" w:cs="Arial"/>
          <w:color w:val="000000"/>
          <w:sz w:val="21"/>
          <w:szCs w:val="21"/>
          <w:lang w:eastAsia="it-IT"/>
        </w:rPr>
        <w:t>immobile di lusso, e</w:t>
      </w:r>
      <w:r>
        <w:rPr>
          <w:rFonts w:ascii="Arial" w:eastAsia="Times New Roman" w:hAnsi="Arial" w:cs="Arial"/>
          <w:color w:val="000000"/>
          <w:sz w:val="21"/>
          <w:szCs w:val="21"/>
          <w:lang w:eastAsia="it-IT"/>
        </w:rPr>
        <w:t xml:space="preserve">ccetera). </w:t>
      </w:r>
    </w:p>
    <w:p w:rsidR="00043608" w:rsidRPr="00043608" w:rsidRDefault="00043608" w:rsidP="00043608">
      <w:pPr>
        <w:shd w:val="clear" w:color="auto" w:fill="FFFFFF"/>
        <w:spacing w:line="270" w:lineRule="atLeast"/>
        <w:jc w:val="both"/>
        <w:rPr>
          <w:rFonts w:ascii="Arial" w:eastAsia="Times New Roman" w:hAnsi="Arial" w:cs="Arial"/>
          <w:color w:val="000000"/>
          <w:sz w:val="21"/>
          <w:szCs w:val="21"/>
          <w:lang w:eastAsia="it-IT"/>
        </w:rPr>
      </w:pPr>
      <w:r w:rsidRPr="00043608">
        <w:rPr>
          <w:rFonts w:ascii="Arial" w:eastAsia="Times New Roman" w:hAnsi="Arial" w:cs="Arial"/>
          <w:color w:val="000000"/>
          <w:sz w:val="21"/>
          <w:szCs w:val="21"/>
          <w:lang w:eastAsia="it-IT"/>
        </w:rPr>
        <w:t>Inoltre, l’Agenzia ricorda che, nell’ipotesi in cui l’intervento di totale demolizione e fedele ricostruzione riguardi un’abitazione “</w:t>
      </w:r>
      <w:r w:rsidRPr="00043608">
        <w:rPr>
          <w:rFonts w:ascii="Arial" w:eastAsia="Times New Roman" w:hAnsi="Arial" w:cs="Arial"/>
          <w:i/>
          <w:iCs/>
          <w:color w:val="000000"/>
          <w:sz w:val="21"/>
          <w:lang w:eastAsia="it-IT"/>
        </w:rPr>
        <w:t>prima casa</w:t>
      </w:r>
      <w:r w:rsidRPr="00043608">
        <w:rPr>
          <w:rFonts w:ascii="Arial" w:eastAsia="Times New Roman" w:hAnsi="Arial" w:cs="Arial"/>
          <w:color w:val="000000"/>
          <w:sz w:val="21"/>
          <w:szCs w:val="21"/>
          <w:lang w:eastAsia="it-IT"/>
        </w:rPr>
        <w:t>”, non può trovare applicazione l’aliquota Iva agevolata del 4% per i contratti di appalto relativi alla “nuova costruzione” di tali abitazioni (</w:t>
      </w:r>
      <w:r w:rsidRPr="00043608">
        <w:rPr>
          <w:rFonts w:ascii="Arial" w:eastAsia="Times New Roman" w:hAnsi="Arial" w:cs="Arial"/>
          <w:i/>
          <w:iCs/>
          <w:color w:val="000000"/>
          <w:sz w:val="21"/>
          <w:lang w:eastAsia="it-IT"/>
        </w:rPr>
        <w:t>cfr</w:t>
      </w:r>
      <w:r w:rsidRPr="00043608">
        <w:rPr>
          <w:rFonts w:ascii="Arial" w:eastAsia="Times New Roman" w:hAnsi="Arial" w:cs="Arial"/>
          <w:color w:val="000000"/>
          <w:sz w:val="21"/>
          <w:szCs w:val="21"/>
          <w:lang w:eastAsia="it-IT"/>
        </w:rPr>
        <w:t xml:space="preserve"> n. 39, tabella A, parte II, </w:t>
      </w:r>
      <w:proofErr w:type="spellStart"/>
      <w:r w:rsidRPr="00043608">
        <w:rPr>
          <w:rFonts w:ascii="Arial" w:eastAsia="Times New Roman" w:hAnsi="Arial" w:cs="Arial"/>
          <w:color w:val="000000"/>
          <w:sz w:val="21"/>
          <w:szCs w:val="21"/>
          <w:lang w:eastAsia="it-IT"/>
        </w:rPr>
        <w:t>Dpr</w:t>
      </w:r>
      <w:proofErr w:type="spellEnd"/>
      <w:r w:rsidRPr="00043608">
        <w:rPr>
          <w:rFonts w:ascii="Arial" w:eastAsia="Times New Roman" w:hAnsi="Arial" w:cs="Arial"/>
          <w:color w:val="000000"/>
          <w:sz w:val="21"/>
          <w:szCs w:val="21"/>
          <w:lang w:eastAsia="it-IT"/>
        </w:rPr>
        <w:t xml:space="preserve"> 633/1972) in considerazione del fatto che a seguito dell’interpretazione autentica operata dal Testo unico edilizia, gli interventi di demolizione e fedele ricostruzione non possono essere ricondotti alle ipotesi di nuova costruzione, bensì concretizzano interventi di recupero di edifici preesistenti (cfr </w:t>
      </w:r>
      <w:hyperlink r:id="rId12" w:tgtFrame="_blank" w:history="1">
        <w:r w:rsidRPr="00043608">
          <w:rPr>
            <w:rFonts w:ascii="Arial" w:eastAsia="Times New Roman" w:hAnsi="Arial" w:cs="Arial"/>
            <w:b/>
            <w:bCs/>
            <w:color w:val="00396B"/>
            <w:sz w:val="21"/>
            <w:u w:val="single"/>
            <w:lang w:eastAsia="it-IT"/>
          </w:rPr>
          <w:t>circolare n. 11/E</w:t>
        </w:r>
      </w:hyperlink>
      <w:r w:rsidRPr="00043608">
        <w:rPr>
          <w:rFonts w:ascii="Arial" w:eastAsia="Times New Roman" w:hAnsi="Arial" w:cs="Arial"/>
          <w:color w:val="000000"/>
          <w:sz w:val="21"/>
          <w:szCs w:val="21"/>
          <w:lang w:eastAsia="it-IT"/>
        </w:rPr>
        <w:t> del 16 febbraio 2007, paragrafo 3.1).</w:t>
      </w:r>
    </w:p>
    <w:p w:rsidR="007D36A5" w:rsidRDefault="007D36A5"/>
    <w:sectPr w:rsidR="007D36A5" w:rsidSect="00737C7F">
      <w:pgSz w:w="11906" w:h="16838" w:code="9"/>
      <w:pgMar w:top="1417" w:right="170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F5A"/>
    <w:multiLevelType w:val="multilevel"/>
    <w:tmpl w:val="A490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F87739"/>
    <w:multiLevelType w:val="multilevel"/>
    <w:tmpl w:val="D654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043608"/>
    <w:rsid w:val="00043608"/>
    <w:rsid w:val="00737C7F"/>
    <w:rsid w:val="007D36A5"/>
    <w:rsid w:val="00960C15"/>
    <w:rsid w:val="00E374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6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rinthtml">
    <w:name w:val="print_html"/>
    <w:basedOn w:val="Carpredefinitoparagrafo"/>
    <w:rsid w:val="00043608"/>
  </w:style>
  <w:style w:type="character" w:styleId="Collegamentoipertestuale">
    <w:name w:val="Hyperlink"/>
    <w:basedOn w:val="Carpredefinitoparagrafo"/>
    <w:uiPriority w:val="99"/>
    <w:semiHidden/>
    <w:unhideWhenUsed/>
    <w:rsid w:val="00043608"/>
    <w:rPr>
      <w:color w:val="0000FF"/>
      <w:u w:val="single"/>
    </w:rPr>
  </w:style>
  <w:style w:type="character" w:customStyle="1" w:styleId="printmail">
    <w:name w:val="print_mail"/>
    <w:basedOn w:val="Carpredefinitoparagrafo"/>
    <w:rsid w:val="00043608"/>
  </w:style>
  <w:style w:type="character" w:customStyle="1" w:styleId="printpdf">
    <w:name w:val="print_pdf"/>
    <w:basedOn w:val="Carpredefinitoparagrafo"/>
    <w:rsid w:val="00043608"/>
  </w:style>
  <w:style w:type="character" w:styleId="Enfasicorsivo">
    <w:name w:val="Emphasis"/>
    <w:basedOn w:val="Carpredefinitoparagrafo"/>
    <w:uiPriority w:val="20"/>
    <w:qFormat/>
    <w:rsid w:val="00043608"/>
    <w:rPr>
      <w:i/>
      <w:iCs/>
    </w:rPr>
  </w:style>
  <w:style w:type="character" w:styleId="Enfasigrassetto">
    <w:name w:val="Strong"/>
    <w:basedOn w:val="Carpredefinitoparagrafo"/>
    <w:uiPriority w:val="22"/>
    <w:qFormat/>
    <w:rsid w:val="00043608"/>
    <w:rPr>
      <w:b/>
      <w:bCs/>
    </w:rPr>
  </w:style>
  <w:style w:type="paragraph" w:styleId="Testofumetto">
    <w:name w:val="Balloon Text"/>
    <w:basedOn w:val="Normale"/>
    <w:link w:val="TestofumettoCarattere"/>
    <w:uiPriority w:val="99"/>
    <w:semiHidden/>
    <w:unhideWhenUsed/>
    <w:rsid w:val="000436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3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300446">
      <w:bodyDiv w:val="1"/>
      <w:marLeft w:val="0"/>
      <w:marRight w:val="0"/>
      <w:marTop w:val="0"/>
      <w:marBottom w:val="0"/>
      <w:divBdr>
        <w:top w:val="none" w:sz="0" w:space="0" w:color="auto"/>
        <w:left w:val="none" w:sz="0" w:space="0" w:color="auto"/>
        <w:bottom w:val="none" w:sz="0" w:space="0" w:color="auto"/>
        <w:right w:val="none" w:sz="0" w:space="0" w:color="auto"/>
      </w:divBdr>
      <w:divsChild>
        <w:div w:id="511335696">
          <w:marLeft w:val="-225"/>
          <w:marRight w:val="-225"/>
          <w:marTop w:val="0"/>
          <w:marBottom w:val="0"/>
          <w:divBdr>
            <w:top w:val="none" w:sz="0" w:space="0" w:color="auto"/>
            <w:left w:val="none" w:sz="0" w:space="0" w:color="auto"/>
            <w:bottom w:val="none" w:sz="0" w:space="0" w:color="auto"/>
            <w:right w:val="none" w:sz="0" w:space="0" w:color="auto"/>
          </w:divBdr>
        </w:div>
        <w:div w:id="1349410465">
          <w:marLeft w:val="0"/>
          <w:marRight w:val="0"/>
          <w:marTop w:val="150"/>
          <w:marBottom w:val="75"/>
          <w:divBdr>
            <w:top w:val="none" w:sz="0" w:space="0" w:color="auto"/>
            <w:left w:val="none" w:sz="0" w:space="0" w:color="auto"/>
            <w:bottom w:val="none" w:sz="0" w:space="0" w:color="auto"/>
            <w:right w:val="none" w:sz="0" w:space="0" w:color="auto"/>
          </w:divBdr>
        </w:div>
        <w:div w:id="2094888629">
          <w:marLeft w:val="0"/>
          <w:marRight w:val="0"/>
          <w:marTop w:val="75"/>
          <w:marBottom w:val="75"/>
          <w:divBdr>
            <w:top w:val="none" w:sz="0" w:space="0" w:color="auto"/>
            <w:left w:val="none" w:sz="0" w:space="0" w:color="auto"/>
            <w:bottom w:val="none" w:sz="0" w:space="0" w:color="auto"/>
            <w:right w:val="none" w:sz="0" w:space="0" w:color="auto"/>
          </w:divBdr>
        </w:div>
        <w:div w:id="933781417">
          <w:marLeft w:val="0"/>
          <w:marRight w:val="0"/>
          <w:marTop w:val="0"/>
          <w:marBottom w:val="150"/>
          <w:divBdr>
            <w:top w:val="none" w:sz="0" w:space="0" w:color="auto"/>
            <w:left w:val="none" w:sz="0" w:space="0" w:color="auto"/>
            <w:bottom w:val="none" w:sz="0" w:space="0" w:color="auto"/>
            <w:right w:val="none" w:sz="0" w:space="0" w:color="auto"/>
          </w:divBdr>
        </w:div>
        <w:div w:id="1849443229">
          <w:marLeft w:val="0"/>
          <w:marRight w:val="150"/>
          <w:marTop w:val="45"/>
          <w:marBottom w:val="75"/>
          <w:divBdr>
            <w:top w:val="none" w:sz="0" w:space="0" w:color="auto"/>
            <w:left w:val="none" w:sz="0" w:space="0" w:color="auto"/>
            <w:bottom w:val="none" w:sz="0" w:space="0" w:color="auto"/>
            <w:right w:val="none" w:sz="0" w:space="0" w:color="auto"/>
          </w:divBdr>
        </w:div>
        <w:div w:id="107466480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f.finanze.it/DocTribFrontend/getAttoNormativoDetail.do?ACTION=getArticolo&amp;id=%7b99463CA3-764B-414F-98AD-0966910B58C2%7d&amp;codiceOrdinamento=200001600000000&amp;articolo=Articolo%20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enziaentrate.gov.it/wps/file/nsilib/nsi/normativa%2be%2bprassi/risoluzioni/archivio%2brisoluzioni/risoluzioni%2b2018/aprile%2b2018%2brisoluzioni/risoluzione%2bn%2b34%2bdel%2b27%2baprile%2b2018/RISOLUZIONE%2b34E.pdf" TargetMode="External"/><Relationship Id="rId12" Type="http://schemas.openxmlformats.org/officeDocument/2006/relationships/hyperlink" Target="http://def.finanze.it/DocTribFrontend/getPrassiDetail.do?id=%7b1B47EEDB-F3BD-4903-AEFC-E1D2EC89F52A%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ef.finanze.it/DocTribFrontend/getAttoNormativoDetail.do?ACTION=getArticolo&amp;id=%7b75A4827C-3766-4ECC-9C45-00C8D6CDC552%7d&amp;codiceOrdinamento=80A%20%200000000000&amp;articolo=Tabella%20A" TargetMode="External"/><Relationship Id="rId5" Type="http://schemas.openxmlformats.org/officeDocument/2006/relationships/hyperlink" Target="http://www.fiscooggi.it/files/immagini_articoli/u5/sismabonus.jpg" TargetMode="External"/><Relationship Id="rId10" Type="http://schemas.openxmlformats.org/officeDocument/2006/relationships/hyperlink" Target="http://def.finanze.it/DocTribFrontend/getPrassiDetail.do?id=%7b616F41B1-D271-46E8-92B5-445BCD837B3B%7d" TargetMode="External"/><Relationship Id="rId4" Type="http://schemas.openxmlformats.org/officeDocument/2006/relationships/webSettings" Target="webSettings.xml"/><Relationship Id="rId9" Type="http://schemas.openxmlformats.org/officeDocument/2006/relationships/hyperlink" Target="http://def.finanze.it/DocTribFrontend/getAttoNormativoDetail.do?ACTION=getArticolo&amp;id=%7b31D694E8-4398-4030-873B-FEAF5A6647F9%7d&amp;codiceOrdinamento=200001600000200&amp;articolo=Articolo%2016%20bis"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1364</Words>
  <Characters>7779</Characters>
  <Application>Microsoft Office Word</Application>
  <DocSecurity>0</DocSecurity>
  <Lines>64</Lines>
  <Paragraphs>18</Paragraphs>
  <ScaleCrop>false</ScaleCrop>
  <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cp:revision>
  <dcterms:created xsi:type="dcterms:W3CDTF">2018-04-28T06:24:00Z</dcterms:created>
  <dcterms:modified xsi:type="dcterms:W3CDTF">2018-04-28T06:30:00Z</dcterms:modified>
</cp:coreProperties>
</file>